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EAF5" w14:textId="2287FCE0" w:rsidR="005E6C41" w:rsidRPr="005E6C41" w:rsidRDefault="005E6C41" w:rsidP="005E6C41">
      <w:pPr>
        <w:pBdr>
          <w:top w:val="nil"/>
          <w:left w:val="nil"/>
          <w:bottom w:val="nil"/>
          <w:right w:val="nil"/>
          <w:between w:val="nil"/>
        </w:pBdr>
        <w:shd w:val="clear" w:color="auto" w:fill="385623"/>
        <w:spacing w:line="276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5E6C41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 xml:space="preserve">Додаток 1 до </w:t>
      </w:r>
      <w:proofErr w:type="spellStart"/>
      <w:r w:rsidRPr="005E6C41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Технічн</w:t>
      </w:r>
      <w:proofErr w:type="spellEnd"/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ого</w:t>
      </w:r>
      <w:r w:rsidRPr="005E6C41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</w:t>
      </w:r>
      <w:proofErr w:type="spellStart"/>
      <w:r w:rsidRPr="005E6C41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завдання</w:t>
      </w:r>
      <w:proofErr w:type="spellEnd"/>
      <w:r w:rsidRPr="005E6C41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</w:t>
      </w:r>
    </w:p>
    <w:p w14:paraId="616A93EC" w14:textId="7043DAD5" w:rsidR="005E23DF" w:rsidRDefault="005E23DF" w:rsidP="005E23DF">
      <w:pPr>
        <w:jc w:val="center"/>
      </w:pPr>
      <w:bookmarkStart w:id="0" w:name="_Hlk65834652"/>
      <w:r w:rsidRPr="004901B3">
        <w:rPr>
          <w:color w:val="000000"/>
          <w:lang w:val="uk-UA"/>
        </w:rPr>
        <w:t xml:space="preserve">Експерт з питань </w:t>
      </w:r>
      <w:r>
        <w:rPr>
          <w:color w:val="000000"/>
          <w:lang w:val="uk-UA"/>
        </w:rPr>
        <w:t>планування</w:t>
      </w:r>
      <w:bookmarkEnd w:id="0"/>
      <w:r w:rsidR="00581DFC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, </w:t>
      </w:r>
      <w:r w:rsidR="00581DFC" w:rsidRPr="0004519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A700C">
        <w:rPr>
          <w:color w:val="000000"/>
        </w:rPr>
        <w:t>PQ-2021-9-Expert-Planning</w:t>
      </w:r>
      <w:r w:rsidRPr="005E23DF">
        <w:t xml:space="preserve"> </w:t>
      </w:r>
    </w:p>
    <w:p w14:paraId="22627FF0" w14:textId="6BE04ABA" w:rsidR="0004519A" w:rsidRDefault="005E23DF" w:rsidP="00FA4554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E23DF">
        <w:rPr>
          <w:rFonts w:ascii="Times New Roman" w:hAnsi="Times New Roman" w:cs="Times New Roman"/>
          <w:sz w:val="20"/>
          <w:szCs w:val="20"/>
        </w:rPr>
        <w:t>Будь ласка, подайте свою заявку</w:t>
      </w:r>
      <w:r w:rsidR="007D4230">
        <w:rPr>
          <w:rFonts w:ascii="Times New Roman" w:hAnsi="Times New Roman" w:cs="Times New Roman"/>
          <w:sz w:val="20"/>
          <w:szCs w:val="20"/>
          <w:lang w:val="uk-UA"/>
        </w:rPr>
        <w:t xml:space="preserve"> на </w:t>
      </w:r>
      <w:r w:rsidR="007D4230" w:rsidRPr="007D4230">
        <w:rPr>
          <w:rFonts w:ascii="Times New Roman" w:hAnsi="Times New Roman" w:cs="Times New Roman"/>
          <w:b/>
          <w:sz w:val="20"/>
          <w:szCs w:val="20"/>
          <w:lang w:val="uk-UA"/>
        </w:rPr>
        <w:t>info@snpa.in.u</w:t>
      </w:r>
      <w:bookmarkStart w:id="1" w:name="_GoBack"/>
      <w:r w:rsidR="007D4230" w:rsidRPr="007D4230">
        <w:rPr>
          <w:rFonts w:ascii="Times New Roman" w:hAnsi="Times New Roman" w:cs="Times New Roman"/>
          <w:b/>
          <w:sz w:val="20"/>
          <w:szCs w:val="20"/>
          <w:lang w:val="uk-UA"/>
        </w:rPr>
        <w:t>a</w:t>
      </w:r>
      <w:bookmarkEnd w:id="1"/>
      <w:r w:rsidRPr="005E23DF">
        <w:rPr>
          <w:rFonts w:ascii="Times New Roman" w:hAnsi="Times New Roman" w:cs="Times New Roman"/>
          <w:sz w:val="20"/>
          <w:szCs w:val="20"/>
        </w:rPr>
        <w:t xml:space="preserve">, яка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включає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мотиваційний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лист, резюме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 CV (у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довільній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формі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відображає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детальний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досвід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роботи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 з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питань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планування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та/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природно-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заповідними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територіями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розробки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подальших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правових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норм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вдосконаленого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річного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планування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звітності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), </w:t>
      </w:r>
      <w:r w:rsidR="0004519A" w:rsidRPr="009D6F67">
        <w:rPr>
          <w:rFonts w:ascii="Times New Roman" w:hAnsi="Times New Roman" w:cs="Times New Roman"/>
          <w:sz w:val="20"/>
          <w:szCs w:val="20"/>
          <w:lang w:val="uk-UA"/>
        </w:rPr>
        <w:t xml:space="preserve">список </w:t>
      </w:r>
      <w:r w:rsidR="0004519A">
        <w:rPr>
          <w:rFonts w:ascii="Times New Roman" w:hAnsi="Times New Roman" w:cs="Times New Roman"/>
          <w:sz w:val="20"/>
          <w:szCs w:val="20"/>
          <w:lang w:val="uk-UA"/>
        </w:rPr>
        <w:t xml:space="preserve">тематичних </w:t>
      </w:r>
      <w:r w:rsidR="0004519A" w:rsidRPr="009D6F67">
        <w:rPr>
          <w:rFonts w:ascii="Times New Roman" w:hAnsi="Times New Roman" w:cs="Times New Roman"/>
          <w:sz w:val="20"/>
          <w:szCs w:val="20"/>
          <w:lang w:val="uk-UA"/>
        </w:rPr>
        <w:t>публікацій</w:t>
      </w:r>
      <w:r w:rsidR="0004519A">
        <w:rPr>
          <w:rFonts w:ascii="Times New Roman" w:hAnsi="Times New Roman" w:cs="Times New Roman"/>
          <w:sz w:val="20"/>
          <w:szCs w:val="20"/>
          <w:lang w:val="uk-UA"/>
        </w:rPr>
        <w:t xml:space="preserve">, якщо наявні та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контактні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дані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двох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можуть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Вас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рекомендувати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знають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рівень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вашої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DF">
        <w:rPr>
          <w:rFonts w:ascii="Times New Roman" w:hAnsi="Times New Roman" w:cs="Times New Roman"/>
          <w:sz w:val="20"/>
          <w:szCs w:val="20"/>
        </w:rPr>
        <w:t>підготовки</w:t>
      </w:r>
      <w:proofErr w:type="spellEnd"/>
      <w:r w:rsidRPr="005E23DF">
        <w:rPr>
          <w:rFonts w:ascii="Times New Roman" w:hAnsi="Times New Roman" w:cs="Times New Roman"/>
          <w:sz w:val="20"/>
          <w:szCs w:val="20"/>
        </w:rPr>
        <w:t xml:space="preserve">). </w:t>
      </w:r>
      <w:r w:rsidR="0004519A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="0004519A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="0004519A">
        <w:rPr>
          <w:rFonts w:ascii="Times New Roman" w:hAnsi="Times New Roman" w:cs="Times New Roman"/>
          <w:sz w:val="20"/>
          <w:szCs w:val="20"/>
        </w:rPr>
        <w:t xml:space="preserve"> подати </w:t>
      </w:r>
      <w:proofErr w:type="spellStart"/>
      <w:r w:rsidR="0004519A">
        <w:rPr>
          <w:rFonts w:ascii="Times New Roman" w:hAnsi="Times New Roman" w:cs="Times New Roman"/>
          <w:sz w:val="20"/>
          <w:szCs w:val="20"/>
        </w:rPr>
        <w:t>фінансову</w:t>
      </w:r>
      <w:proofErr w:type="spellEnd"/>
      <w:r w:rsidR="000451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19A">
        <w:rPr>
          <w:rFonts w:ascii="Times New Roman" w:hAnsi="Times New Roman" w:cs="Times New Roman"/>
          <w:sz w:val="20"/>
          <w:szCs w:val="20"/>
        </w:rPr>
        <w:t>пропозицію</w:t>
      </w:r>
      <w:proofErr w:type="spellEnd"/>
      <w:r w:rsidR="0004519A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="0004519A">
        <w:rPr>
          <w:rFonts w:ascii="Times New Roman" w:hAnsi="Times New Roman" w:cs="Times New Roman"/>
          <w:sz w:val="20"/>
          <w:szCs w:val="20"/>
        </w:rPr>
        <w:t>формі</w:t>
      </w:r>
      <w:proofErr w:type="spellEnd"/>
      <w:r w:rsidR="000451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19A">
        <w:rPr>
          <w:rFonts w:ascii="Times New Roman" w:hAnsi="Times New Roman" w:cs="Times New Roman"/>
          <w:sz w:val="20"/>
          <w:szCs w:val="20"/>
        </w:rPr>
        <w:t>нижче</w:t>
      </w:r>
      <w:proofErr w:type="spellEnd"/>
      <w:r w:rsidR="000451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19A">
        <w:rPr>
          <w:rFonts w:ascii="Times New Roman" w:hAnsi="Times New Roman" w:cs="Times New Roman"/>
          <w:sz w:val="20"/>
          <w:szCs w:val="20"/>
        </w:rPr>
        <w:t>представленої</w:t>
      </w:r>
      <w:proofErr w:type="spellEnd"/>
      <w:r w:rsidR="000451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19A">
        <w:rPr>
          <w:rFonts w:ascii="Times New Roman" w:hAnsi="Times New Roman" w:cs="Times New Roman"/>
          <w:sz w:val="20"/>
          <w:szCs w:val="20"/>
        </w:rPr>
        <w:t>таблиці</w:t>
      </w:r>
      <w:proofErr w:type="spellEnd"/>
      <w:r w:rsidR="000451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19A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="000451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19A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="000451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19A">
        <w:rPr>
          <w:rFonts w:ascii="Times New Roman" w:hAnsi="Times New Roman" w:cs="Times New Roman"/>
          <w:sz w:val="20"/>
          <w:szCs w:val="20"/>
        </w:rPr>
        <w:t>технічного</w:t>
      </w:r>
      <w:proofErr w:type="spellEnd"/>
      <w:r w:rsidR="000451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19A">
        <w:rPr>
          <w:rFonts w:ascii="Times New Roman" w:hAnsi="Times New Roman" w:cs="Times New Roman"/>
          <w:sz w:val="20"/>
          <w:szCs w:val="20"/>
        </w:rPr>
        <w:t>завдання</w:t>
      </w:r>
      <w:proofErr w:type="spellEnd"/>
      <w:r w:rsidR="0004519A">
        <w:rPr>
          <w:rFonts w:ascii="Times New Roman" w:hAnsi="Times New Roman" w:cs="Times New Roman"/>
          <w:sz w:val="20"/>
          <w:szCs w:val="20"/>
        </w:rPr>
        <w:t>.</w:t>
      </w:r>
    </w:p>
    <w:p w14:paraId="22A28AE8" w14:textId="572E32DF" w:rsidR="005E6C41" w:rsidRPr="005E6C41" w:rsidRDefault="005E6C41" w:rsidP="0004519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5E6C41">
        <w:rPr>
          <w:rFonts w:ascii="Times New Roman" w:hAnsi="Times New Roman" w:cs="Times New Roman"/>
          <w:b/>
          <w:bCs/>
          <w:sz w:val="20"/>
          <w:szCs w:val="20"/>
          <w:lang w:val="uk-UA"/>
        </w:rPr>
        <w:t>Фінансова пропозиція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6"/>
        <w:gridCol w:w="1559"/>
        <w:gridCol w:w="1984"/>
      </w:tblGrid>
      <w:tr w:rsidR="005E6C41" w:rsidRPr="005E23DF" w14:paraId="6662F04B" w14:textId="77777777" w:rsidTr="005E6C41">
        <w:tc>
          <w:tcPr>
            <w:tcW w:w="5416" w:type="dxa"/>
            <w:shd w:val="clear" w:color="auto" w:fill="D7E3BC"/>
          </w:tcPr>
          <w:p w14:paraId="0DAEB01C" w14:textId="77777777" w:rsidR="005E6C41" w:rsidRPr="005E23DF" w:rsidRDefault="005E6C41" w:rsidP="0004519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5E23D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Діяльність</w:t>
            </w:r>
            <w:proofErr w:type="spellEnd"/>
          </w:p>
        </w:tc>
        <w:tc>
          <w:tcPr>
            <w:tcW w:w="1559" w:type="dxa"/>
            <w:shd w:val="clear" w:color="auto" w:fill="D7E3BC"/>
          </w:tcPr>
          <w:p w14:paraId="01A6DDD2" w14:textId="07B82C7C" w:rsidR="005E6C41" w:rsidRPr="005E23DF" w:rsidRDefault="005E6C41" w:rsidP="005E23DF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5E23D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К-ть робочих днів</w:t>
            </w:r>
          </w:p>
        </w:tc>
        <w:tc>
          <w:tcPr>
            <w:tcW w:w="1984" w:type="dxa"/>
            <w:shd w:val="clear" w:color="auto" w:fill="D7E3BC"/>
          </w:tcPr>
          <w:p w14:paraId="799864E0" w14:textId="2B16C11E" w:rsidR="005E6C41" w:rsidRPr="005E23DF" w:rsidRDefault="005E6C41" w:rsidP="005E23DF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5E23D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Вартість за робочий день, Євро</w:t>
            </w:r>
            <w:r w:rsidR="00D95BE7" w:rsidRPr="005E23DF">
              <w:rPr>
                <w:rStyle w:val="a5"/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footnoteReference w:id="1"/>
            </w:r>
          </w:p>
        </w:tc>
      </w:tr>
      <w:tr w:rsidR="005E23DF" w:rsidRPr="005E23DF" w14:paraId="0DB69543" w14:textId="77777777" w:rsidTr="005E6C41">
        <w:tc>
          <w:tcPr>
            <w:tcW w:w="5416" w:type="dxa"/>
          </w:tcPr>
          <w:p w14:paraId="7CA9497B" w14:textId="5F08EA0D" w:rsidR="005E23DF" w:rsidRPr="005E23DF" w:rsidRDefault="005E23DF" w:rsidP="005E23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Діяльність 1: порівняльний аналіз сучасного стану планування та звітності установ ПЗФ в частині здійснення основних видів діяльності </w:t>
            </w:r>
            <w:r w:rsidRPr="005E23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(Річний план заходів</w:t>
            </w:r>
            <w:r w:rsidRPr="005E23DF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звіт про його виконання, План природоохоронних заходів, та звіти про його виконання, </w:t>
            </w:r>
            <w:bookmarkStart w:id="2" w:name="177"/>
            <w:bookmarkEnd w:id="2"/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звіти за видами діяльності тощо) та досвіду європейських країн  з цих питань </w:t>
            </w:r>
          </w:p>
        </w:tc>
        <w:tc>
          <w:tcPr>
            <w:tcW w:w="1559" w:type="dxa"/>
          </w:tcPr>
          <w:p w14:paraId="0574E488" w14:textId="77777777" w:rsidR="005E23DF" w:rsidRPr="005E23DF" w:rsidRDefault="005E23DF" w:rsidP="005E23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706FD7CC" w14:textId="77777777" w:rsidR="005E23DF" w:rsidRPr="005E23DF" w:rsidRDefault="005E23DF" w:rsidP="005E23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23DF" w:rsidRPr="0004519A" w14:paraId="5B1D8FF8" w14:textId="77777777" w:rsidTr="005E6C41">
        <w:tc>
          <w:tcPr>
            <w:tcW w:w="5416" w:type="dxa"/>
          </w:tcPr>
          <w:p w14:paraId="6F072861" w14:textId="77777777" w:rsidR="005E23DF" w:rsidRPr="005E23DF" w:rsidRDefault="005E23DF" w:rsidP="005E23DF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Діяльність 2: розроблення пропозицій щодо вдосконалення планування та звітності установ ПЗФ, які мають включати:</w:t>
            </w:r>
          </w:p>
          <w:p w14:paraId="00A51664" w14:textId="77777777" w:rsidR="005E23DF" w:rsidRPr="005E23DF" w:rsidRDefault="005E23DF" w:rsidP="005E23DF">
            <w:pPr>
              <w:tabs>
                <w:tab w:val="left" w:pos="851"/>
              </w:tabs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1) єдині удосконалені </w:t>
            </w:r>
            <w:r w:rsidRPr="005E23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форми планів та звітів установ ПЗФ </w:t>
            </w:r>
            <w:proofErr w:type="spellStart"/>
            <w:r w:rsidRPr="005E23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Міндовкілля</w:t>
            </w:r>
            <w:proofErr w:type="spellEnd"/>
            <w:r w:rsidRPr="005E23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та вимоги до підготовки пояснювальної записки;</w:t>
            </w:r>
          </w:p>
          <w:p w14:paraId="5858A543" w14:textId="77777777" w:rsidR="005E23DF" w:rsidRPr="005E23DF" w:rsidRDefault="005E23DF" w:rsidP="005E23DF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 прив’язку до Проекту організації території установи ПЗФ, забезпечення його виконання;</w:t>
            </w:r>
          </w:p>
          <w:p w14:paraId="5BC8D840" w14:textId="77777777" w:rsidR="005E23DF" w:rsidRPr="005E23DF" w:rsidRDefault="005E23DF" w:rsidP="005E23DF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3) здійснення прозорого планування та звітності;</w:t>
            </w:r>
          </w:p>
          <w:p w14:paraId="431CFD8B" w14:textId="77777777" w:rsidR="005E23DF" w:rsidRPr="005E23DF" w:rsidRDefault="005E23DF" w:rsidP="005E23DF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4) кількісні та якісні показники досягнення мети та завдань діяльності установ ПЗФ та природоохоронної політики </w:t>
            </w:r>
            <w:proofErr w:type="spellStart"/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Міндовкілля</w:t>
            </w:r>
            <w:proofErr w:type="spellEnd"/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4A37A5B9" w14:textId="77777777" w:rsidR="005E23DF" w:rsidRPr="005E23DF" w:rsidRDefault="005E23DF" w:rsidP="005E23DF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5) доступність викладення даних звіту для населення;</w:t>
            </w:r>
          </w:p>
          <w:p w14:paraId="3088F166" w14:textId="53DD7715" w:rsidR="005E23DF" w:rsidRPr="005E23DF" w:rsidRDefault="005E23DF" w:rsidP="005E23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6) можливість автоматизації процесів планування та звітності у подальшому на базі запровадження відповідного  програмного забезпечення з використанням єдиного серверу зберігання даних, забезпечення контролю за достовірністю внесених даних та здатності здійснення вибірок даних, їх узагальнення і аналізу</w:t>
            </w:r>
          </w:p>
        </w:tc>
        <w:tc>
          <w:tcPr>
            <w:tcW w:w="1559" w:type="dxa"/>
          </w:tcPr>
          <w:p w14:paraId="10A1A987" w14:textId="77777777" w:rsidR="005E23DF" w:rsidRPr="005E23DF" w:rsidRDefault="005E23DF" w:rsidP="005E23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24F160DC" w14:textId="77777777" w:rsidR="005E23DF" w:rsidRPr="005E23DF" w:rsidRDefault="005E23DF" w:rsidP="005E23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23DF" w:rsidRPr="0004519A" w14:paraId="2A9C788E" w14:textId="77777777" w:rsidTr="005E6C41">
        <w:tc>
          <w:tcPr>
            <w:tcW w:w="5416" w:type="dxa"/>
          </w:tcPr>
          <w:p w14:paraId="1828F1D7" w14:textId="749C8735" w:rsidR="005E23DF" w:rsidRPr="005E23DF" w:rsidRDefault="005E23DF" w:rsidP="005E23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Діяльність 3: опрацювання та адаптація для затвердження наказом </w:t>
            </w:r>
            <w:proofErr w:type="spellStart"/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Міндовкілля</w:t>
            </w:r>
            <w:proofErr w:type="spellEnd"/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Методики оцінки ефективності управління установами ПЗФ (U-METT) у відповідності до існуючих діючих документів</w:t>
            </w:r>
          </w:p>
        </w:tc>
        <w:tc>
          <w:tcPr>
            <w:tcW w:w="1559" w:type="dxa"/>
          </w:tcPr>
          <w:p w14:paraId="75D2894A" w14:textId="77777777" w:rsidR="005E23DF" w:rsidRPr="005E23DF" w:rsidRDefault="005E23DF" w:rsidP="005E23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28E9C0F6" w14:textId="77777777" w:rsidR="005E23DF" w:rsidRPr="005E23DF" w:rsidRDefault="005E23DF" w:rsidP="005E23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23DF" w:rsidRPr="005E23DF" w14:paraId="4E77189C" w14:textId="77777777" w:rsidTr="005E6C41">
        <w:tc>
          <w:tcPr>
            <w:tcW w:w="5416" w:type="dxa"/>
          </w:tcPr>
          <w:p w14:paraId="4FC9BB99" w14:textId="651C65BB" w:rsidR="005E23DF" w:rsidRPr="005E23DF" w:rsidRDefault="005E23DF" w:rsidP="005E23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Діяльність 4: Підготовка відповідних презентаційних матеріалів</w:t>
            </w:r>
          </w:p>
        </w:tc>
        <w:tc>
          <w:tcPr>
            <w:tcW w:w="1559" w:type="dxa"/>
          </w:tcPr>
          <w:p w14:paraId="092EB886" w14:textId="77777777" w:rsidR="005E23DF" w:rsidRPr="005E23DF" w:rsidRDefault="005E23DF" w:rsidP="005E23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60699B49" w14:textId="77777777" w:rsidR="005E23DF" w:rsidRPr="005E23DF" w:rsidRDefault="005E23DF" w:rsidP="005E23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23DF" w:rsidRPr="005E23DF" w14:paraId="51FB9D1E" w14:textId="77777777" w:rsidTr="005E6C41">
        <w:tc>
          <w:tcPr>
            <w:tcW w:w="5416" w:type="dxa"/>
          </w:tcPr>
          <w:p w14:paraId="49F7F163" w14:textId="433B3C96" w:rsidR="005E23DF" w:rsidRPr="005E23DF" w:rsidRDefault="005E23DF" w:rsidP="005E23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Діяльність 5: презентація та обговорення розроблених пропозицій щодо вдосконалення планування та звітності установ ПЗФ із фахівцями відповідних структурних  підрозділів </w:t>
            </w:r>
            <w:proofErr w:type="spellStart"/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Міндовкілля</w:t>
            </w:r>
            <w:proofErr w:type="spellEnd"/>
          </w:p>
        </w:tc>
        <w:tc>
          <w:tcPr>
            <w:tcW w:w="1559" w:type="dxa"/>
          </w:tcPr>
          <w:p w14:paraId="47F43F34" w14:textId="77777777" w:rsidR="005E23DF" w:rsidRPr="005E23DF" w:rsidRDefault="005E23DF" w:rsidP="005E23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00297860" w14:textId="77777777" w:rsidR="005E23DF" w:rsidRPr="005E23DF" w:rsidRDefault="005E23DF" w:rsidP="005E23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23DF" w:rsidRPr="005E23DF" w14:paraId="7A81C84F" w14:textId="77777777" w:rsidTr="005E6C41">
        <w:tc>
          <w:tcPr>
            <w:tcW w:w="5416" w:type="dxa"/>
          </w:tcPr>
          <w:p w14:paraId="3CC7621D" w14:textId="7FCA7C50" w:rsidR="005E23DF" w:rsidRPr="005E23DF" w:rsidRDefault="005E23DF" w:rsidP="005E23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Діяльність 6: презентація та обговорення проекту Методики оцінки ефективності управління установами ПЗФ із фахівцями відповідних структурних  підрозділів </w:t>
            </w:r>
            <w:proofErr w:type="spellStart"/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Міндовкілля</w:t>
            </w:r>
            <w:proofErr w:type="spellEnd"/>
          </w:p>
        </w:tc>
        <w:tc>
          <w:tcPr>
            <w:tcW w:w="1559" w:type="dxa"/>
          </w:tcPr>
          <w:p w14:paraId="480BCF12" w14:textId="79CBA2A9" w:rsidR="005E23DF" w:rsidRPr="005E23DF" w:rsidRDefault="005E23DF" w:rsidP="005E23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0813CBE5" w14:textId="77777777" w:rsidR="005E23DF" w:rsidRPr="005E23DF" w:rsidRDefault="005E23DF" w:rsidP="005E23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23DF" w:rsidRPr="005E23DF" w14:paraId="002093A2" w14:textId="77777777" w:rsidTr="005E6C41">
        <w:tc>
          <w:tcPr>
            <w:tcW w:w="5416" w:type="dxa"/>
          </w:tcPr>
          <w:p w14:paraId="5F87D948" w14:textId="7F5771FF" w:rsidR="005E23DF" w:rsidRPr="005E23DF" w:rsidRDefault="005E23DF" w:rsidP="005E23D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Діяльність 7: доопрацювання розроблених пропозицій щодо вдосконалення планування та звітності установ ПЗФ та Методики оцінки ефективності управління установами ПЗФ відповідно до результатів обговорення</w:t>
            </w:r>
          </w:p>
        </w:tc>
        <w:tc>
          <w:tcPr>
            <w:tcW w:w="1559" w:type="dxa"/>
          </w:tcPr>
          <w:p w14:paraId="79A79790" w14:textId="1521B8D3" w:rsidR="005E23DF" w:rsidRPr="005E23DF" w:rsidRDefault="005E23DF" w:rsidP="005E23DF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2D6E6B8C" w14:textId="77777777" w:rsidR="005E23DF" w:rsidRPr="005E23DF" w:rsidRDefault="005E23DF" w:rsidP="005E23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23DF" w:rsidRPr="005E23DF" w14:paraId="130E3F90" w14:textId="77777777" w:rsidTr="005E6C41">
        <w:tc>
          <w:tcPr>
            <w:tcW w:w="5416" w:type="dxa"/>
          </w:tcPr>
          <w:p w14:paraId="39740E35" w14:textId="1B5E3DC7" w:rsidR="005E23DF" w:rsidRPr="005E23DF" w:rsidRDefault="005E23DF" w:rsidP="0004519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23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59" w:type="dxa"/>
          </w:tcPr>
          <w:p w14:paraId="3451DF25" w14:textId="49BC2E06" w:rsidR="005E23DF" w:rsidRPr="005E23DF" w:rsidRDefault="005E23DF" w:rsidP="0004519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E23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до 76</w:t>
            </w:r>
          </w:p>
        </w:tc>
        <w:tc>
          <w:tcPr>
            <w:tcW w:w="1984" w:type="dxa"/>
          </w:tcPr>
          <w:p w14:paraId="43EA6AC1" w14:textId="77777777" w:rsidR="005E23DF" w:rsidRPr="005E23DF" w:rsidRDefault="005E23DF" w:rsidP="0004519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3A55EE95" w14:textId="77777777" w:rsidR="005E6C41" w:rsidRPr="005E6C41" w:rsidRDefault="005E6C41">
      <w:pPr>
        <w:rPr>
          <w:lang w:val="uk-UA"/>
        </w:rPr>
      </w:pPr>
    </w:p>
    <w:sectPr w:rsidR="005E6C41" w:rsidRPr="005E6C41" w:rsidSect="00517FA7">
      <w:pgSz w:w="11906" w:h="16838"/>
      <w:pgMar w:top="1440" w:right="1440" w:bottom="89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C70ED" w14:textId="77777777" w:rsidR="00316B9E" w:rsidRDefault="00316B9E" w:rsidP="00D95BE7">
      <w:pPr>
        <w:spacing w:after="0" w:line="240" w:lineRule="auto"/>
      </w:pPr>
      <w:r>
        <w:separator/>
      </w:r>
    </w:p>
  </w:endnote>
  <w:endnote w:type="continuationSeparator" w:id="0">
    <w:p w14:paraId="30475314" w14:textId="77777777" w:rsidR="00316B9E" w:rsidRDefault="00316B9E" w:rsidP="00D9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0885A" w14:textId="77777777" w:rsidR="00316B9E" w:rsidRDefault="00316B9E" w:rsidP="00D95BE7">
      <w:pPr>
        <w:spacing w:after="0" w:line="240" w:lineRule="auto"/>
      </w:pPr>
      <w:r>
        <w:separator/>
      </w:r>
    </w:p>
  </w:footnote>
  <w:footnote w:type="continuationSeparator" w:id="0">
    <w:p w14:paraId="435866AF" w14:textId="77777777" w:rsidR="00316B9E" w:rsidRDefault="00316B9E" w:rsidP="00D95BE7">
      <w:pPr>
        <w:spacing w:after="0" w:line="240" w:lineRule="auto"/>
      </w:pPr>
      <w:r>
        <w:continuationSeparator/>
      </w:r>
    </w:p>
  </w:footnote>
  <w:footnote w:id="1">
    <w:p w14:paraId="56FC3F10" w14:textId="77777777" w:rsidR="00581DFC" w:rsidRDefault="00D95BE7" w:rsidP="00581DFC">
      <w:pPr>
        <w:ind w:left="15"/>
        <w:rPr>
          <w:rFonts w:ascii="Times New Roman" w:hAnsi="Times New Roman" w:cs="Times New Roman"/>
          <w:sz w:val="19"/>
          <w:szCs w:val="19"/>
          <w:lang w:val="uk-UA"/>
        </w:rPr>
      </w:pPr>
      <w:r>
        <w:rPr>
          <w:rStyle w:val="a5"/>
        </w:rPr>
        <w:footnoteRef/>
      </w:r>
      <w:r>
        <w:t xml:space="preserve"> </w:t>
      </w:r>
      <w:r w:rsidRPr="00581DFC">
        <w:rPr>
          <w:rFonts w:ascii="Times New Roman" w:hAnsi="Times New Roman" w:cs="Times New Roman"/>
          <w:sz w:val="19"/>
          <w:szCs w:val="19"/>
          <w:lang w:val="uk-UA"/>
        </w:rPr>
        <w:t xml:space="preserve">Оплата за Послуги  здійснюється в національній валюті України у безготівковій формі шляхом </w:t>
      </w:r>
      <w:proofErr w:type="spellStart"/>
      <w:r w:rsidRPr="00581DFC">
        <w:rPr>
          <w:rFonts w:ascii="Times New Roman" w:hAnsi="Times New Roman" w:cs="Times New Roman"/>
          <w:sz w:val="19"/>
          <w:szCs w:val="19"/>
          <w:lang w:val="uk-UA"/>
        </w:rPr>
        <w:t>пеpеpахування</w:t>
      </w:r>
      <w:proofErr w:type="spellEnd"/>
      <w:r w:rsidRPr="00581DFC">
        <w:rPr>
          <w:rFonts w:ascii="Times New Roman" w:hAnsi="Times New Roman" w:cs="Times New Roman"/>
          <w:sz w:val="19"/>
          <w:szCs w:val="19"/>
          <w:lang w:val="uk-UA"/>
        </w:rPr>
        <w:t xml:space="preserve"> суми вартості виконаних послуг </w:t>
      </w:r>
      <w:r w:rsidRPr="00581DFC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581DFC">
        <w:rPr>
          <w:rFonts w:ascii="Times New Roman" w:hAnsi="Times New Roman" w:cs="Times New Roman"/>
          <w:sz w:val="19"/>
          <w:szCs w:val="19"/>
          <w:lang w:val="uk-UA"/>
        </w:rPr>
        <w:t xml:space="preserve">з банківського рахунку Замовника на банківський </w:t>
      </w:r>
      <w:proofErr w:type="spellStart"/>
      <w:r w:rsidRPr="00581DFC">
        <w:rPr>
          <w:rFonts w:ascii="Times New Roman" w:hAnsi="Times New Roman" w:cs="Times New Roman"/>
          <w:sz w:val="19"/>
          <w:szCs w:val="19"/>
          <w:lang w:val="uk-UA"/>
        </w:rPr>
        <w:t>pахунок</w:t>
      </w:r>
      <w:proofErr w:type="spellEnd"/>
      <w:r w:rsidRPr="00581DFC">
        <w:rPr>
          <w:rFonts w:ascii="Times New Roman" w:hAnsi="Times New Roman" w:cs="Times New Roman"/>
          <w:sz w:val="19"/>
          <w:szCs w:val="19"/>
          <w:lang w:val="uk-UA"/>
        </w:rPr>
        <w:t xml:space="preserve"> Надавача послуг (експерта). </w:t>
      </w:r>
    </w:p>
    <w:p w14:paraId="3592C404" w14:textId="256CB8DA" w:rsidR="00D95BE7" w:rsidRPr="00581DFC" w:rsidRDefault="00D95BE7" w:rsidP="00581DFC">
      <w:pPr>
        <w:ind w:left="15"/>
        <w:rPr>
          <w:rFonts w:ascii="Times New Roman" w:hAnsi="Times New Roman" w:cs="Times New Roman"/>
          <w:sz w:val="19"/>
          <w:szCs w:val="19"/>
          <w:lang w:val="uk-UA"/>
        </w:rPr>
      </w:pPr>
      <w:r w:rsidRPr="00581DFC">
        <w:rPr>
          <w:rFonts w:ascii="Times New Roman" w:hAnsi="Times New Roman" w:cs="Times New Roman"/>
          <w:sz w:val="19"/>
          <w:szCs w:val="19"/>
          <w:lang w:val="uk-UA"/>
        </w:rPr>
        <w:t xml:space="preserve">Усі податки повинні бути включені в зазначеній  фінансовій пропозиції, сплата податків є відповідальністю Надавача послуг (експерта). Експерт може не бути зареєстрований </w:t>
      </w:r>
      <w:proofErr w:type="spellStart"/>
      <w:r w:rsidRPr="00581DFC">
        <w:rPr>
          <w:rFonts w:ascii="Times New Roman" w:hAnsi="Times New Roman" w:cs="Times New Roman"/>
          <w:sz w:val="19"/>
          <w:szCs w:val="19"/>
          <w:lang w:val="uk-UA"/>
        </w:rPr>
        <w:t>ФОПом</w:t>
      </w:r>
      <w:proofErr w:type="spellEnd"/>
      <w:r w:rsidRPr="00581DFC">
        <w:rPr>
          <w:rFonts w:ascii="Times New Roman" w:hAnsi="Times New Roman" w:cs="Times New Roman"/>
          <w:sz w:val="19"/>
          <w:szCs w:val="19"/>
          <w:lang w:val="uk-UA"/>
        </w:rPr>
        <w:t xml:space="preserve"> 3-ї групи на момент подачі пропозиції, однак на початок реалізації технічного завдання він повинен зареєструватися </w:t>
      </w:r>
      <w:proofErr w:type="spellStart"/>
      <w:r w:rsidRPr="00581DFC">
        <w:rPr>
          <w:rFonts w:ascii="Times New Roman" w:hAnsi="Times New Roman" w:cs="Times New Roman"/>
          <w:sz w:val="19"/>
          <w:szCs w:val="19"/>
          <w:lang w:val="uk-UA"/>
        </w:rPr>
        <w:t>ФОПом</w:t>
      </w:r>
      <w:proofErr w:type="spellEnd"/>
      <w:r w:rsidRPr="00581DFC">
        <w:rPr>
          <w:rFonts w:ascii="Times New Roman" w:hAnsi="Times New Roman" w:cs="Times New Roman"/>
          <w:sz w:val="19"/>
          <w:szCs w:val="19"/>
          <w:lang w:val="uk-UA"/>
        </w:rPr>
        <w:t xml:space="preserve"> або іншою юридичною особою. </w:t>
      </w:r>
    </w:p>
    <w:p w14:paraId="22FB700C" w14:textId="5A769D53" w:rsidR="00D95BE7" w:rsidRPr="00D95BE7" w:rsidRDefault="00D95BE7">
      <w:pPr>
        <w:pStyle w:val="a3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D7623"/>
    <w:multiLevelType w:val="hybridMultilevel"/>
    <w:tmpl w:val="951486D0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41"/>
    <w:rsid w:val="0004519A"/>
    <w:rsid w:val="002B6B7E"/>
    <w:rsid w:val="00316B9E"/>
    <w:rsid w:val="004410D1"/>
    <w:rsid w:val="00517FA7"/>
    <w:rsid w:val="00581DFC"/>
    <w:rsid w:val="005E23DF"/>
    <w:rsid w:val="005E6C41"/>
    <w:rsid w:val="007D4230"/>
    <w:rsid w:val="00B270C9"/>
    <w:rsid w:val="00D95BE7"/>
    <w:rsid w:val="00F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30B2"/>
  <w15:chartTrackingRefBased/>
  <w15:docId w15:val="{C445F35A-F5E2-3646-B6D5-C12AF021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E6C41"/>
    <w:pPr>
      <w:spacing w:after="160" w:line="259" w:lineRule="auto"/>
    </w:pPr>
    <w:rPr>
      <w:rFonts w:ascii="Arial" w:eastAsia="Arial" w:hAnsi="Arial" w:cs="Arial"/>
      <w:sz w:val="22"/>
      <w:szCs w:val="22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6C41"/>
  </w:style>
  <w:style w:type="paragraph" w:styleId="a3">
    <w:name w:val="footnote text"/>
    <w:basedOn w:val="a"/>
    <w:link w:val="a4"/>
    <w:uiPriority w:val="99"/>
    <w:semiHidden/>
    <w:unhideWhenUsed/>
    <w:rsid w:val="00D95BE7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D95BE7"/>
    <w:rPr>
      <w:rFonts w:ascii="Arial" w:eastAsia="Arial" w:hAnsi="Arial" w:cs="Arial"/>
      <w:sz w:val="20"/>
      <w:szCs w:val="20"/>
      <w:lang w:val="ru-RU" w:eastAsia="uk-UA"/>
    </w:rPr>
  </w:style>
  <w:style w:type="character" w:styleId="a5">
    <w:name w:val="footnote reference"/>
    <w:basedOn w:val="a0"/>
    <w:uiPriority w:val="99"/>
    <w:semiHidden/>
    <w:unhideWhenUsed/>
    <w:rsid w:val="00D95BE7"/>
    <w:rPr>
      <w:vertAlign w:val="superscript"/>
    </w:rPr>
  </w:style>
  <w:style w:type="paragraph" w:styleId="a6">
    <w:name w:val="List Paragraph"/>
    <w:basedOn w:val="a"/>
    <w:link w:val="a7"/>
    <w:qFormat/>
    <w:rsid w:val="00D95BE7"/>
    <w:pPr>
      <w:suppressAutoHyphens/>
      <w:spacing w:after="0" w:line="240" w:lineRule="auto"/>
      <w:ind w:left="720"/>
      <w:contextualSpacing/>
    </w:pPr>
    <w:rPr>
      <w:rFonts w:eastAsia="Times New Roman"/>
      <w:sz w:val="20"/>
      <w:szCs w:val="20"/>
      <w:lang w:val="de-DE" w:eastAsia="de-DE"/>
    </w:rPr>
  </w:style>
  <w:style w:type="character" w:customStyle="1" w:styleId="a7">
    <w:name w:val="Абзац списку Знак"/>
    <w:link w:val="a6"/>
    <w:rsid w:val="00D95BE7"/>
    <w:rPr>
      <w:rFonts w:ascii="Arial" w:eastAsia="Times New Roman" w:hAnsi="Arial" w:cs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Solomiya Stefanyshyn</dc:creator>
  <cp:keywords/>
  <dc:description/>
  <cp:lastModifiedBy>User</cp:lastModifiedBy>
  <cp:revision>3</cp:revision>
  <dcterms:created xsi:type="dcterms:W3CDTF">2021-03-15T19:29:00Z</dcterms:created>
  <dcterms:modified xsi:type="dcterms:W3CDTF">2021-03-16T12:06:00Z</dcterms:modified>
</cp:coreProperties>
</file>